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MAY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7486" w:type="dxa"/>
        <w:jc w:val="left"/>
        <w:tblInd w:w="0" w:type="dxa"/>
        <w:tblLayout w:type="fixed"/>
        <w:tblCellMar>
          <w:top w:w="28" w:type="dxa"/>
          <w:left w:w="28" w:type="dxa"/>
          <w:bottom w:w="28" w:type="dxa"/>
          <w:right w:w="28" w:type="dxa"/>
        </w:tblCellMar>
      </w:tblPr>
      <w:tblGrid>
        <w:gridCol w:w="266"/>
        <w:gridCol w:w="234"/>
        <w:gridCol w:w="236"/>
        <w:gridCol w:w="1976"/>
        <w:gridCol w:w="1976"/>
        <w:gridCol w:w="279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Company Announcement Dated May 8, 2026: </w:t>
            </w:r>
            <w:hyperlink w:anchor="gmab_20260508xex99d1.htm">
              <w:r>
                <w:rPr>
                  <w:rStyle w:val="InternetLink"/>
                  <w:rFonts w:ascii="Times New Roman;serif" w:hAnsi="Times New Roman;serif"/>
                  <w:b w:val="false"/>
                  <w:color w:val="000000"/>
                  <w:sz w:val="20"/>
                  <w:u w:val="single"/>
                </w:rPr>
                <w:t>Major Shareholder Announcement</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ab_20260508xex99d2.htm">
              <w:r>
                <w:rPr>
                  <w:rStyle w:val="InternetLink"/>
                  <w:rFonts w:ascii="Times New Roman;serif" w:hAnsi="Times New Roman;serif"/>
                  <w:b w:val="false"/>
                  <w:color w:val="000000"/>
                  <w:sz w:val="20"/>
                  <w:u w:val="single"/>
                </w:rPr>
                <w:t>Orbis Shareholder Notification</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MAY 8,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57325" cy="419100"/>
                    </a:xfrm>
                    <a:prstGeom prst="rect">
                      <a:avLst/>
                    </a:prstGeom>
                  </pic:spPr>
                </pic:pic>
              </a:graphicData>
            </a:graphic>
          </wp:inline>
        </w:drawing>
      </w:r>
    </w:p>
    <w:p>
      <w:pPr>
        <w:pStyle w:val="TextBody"/>
        <w:bidi w:val="0"/>
        <w:spacing w:lineRule="auto" w:line="268" w:before="0" w:after="0"/>
        <w:jc w:val="both"/>
        <w:rPr>
          <w:rFonts w:ascii="Arial;sans-serif" w:hAnsi="Arial;sans-serif"/>
          <w:b/>
          <w:color w:val="000000"/>
          <w:sz w:val="26"/>
        </w:rPr>
      </w:pPr>
      <w:r>
        <w:rPr>
          <w:rFonts w:ascii="Arial;sans-serif" w:hAnsi="Arial;sans-serif"/>
          <w:b/>
          <w:color w:val="000000"/>
          <w:sz w:val="26"/>
        </w:rPr>
        <w:t>Major Shareholder Announcement</w:t>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Company Announcement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Major shareholder announcement for Genmab A/S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COPENHAGEN, Denmark; May 8, 2026 – Genmab A/S (Nasdaq: GMAB) announces under reference to Section 30 of the Danish Capital Markets Act that Orbis Investment Management Limited has informed us that through shares, as of May 8, 2026, Orbis Investment Management Limited controlled the voting rights to 3,166,357 shares in Genmab A/S, which amounts to 5.08% of the share capital and voting rights in Genmab A/S.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major shareholder announcement of Orbis Investment Management Limited is attached to this announcement.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About Genmab</w:t>
      </w:r>
      <w:r>
        <w:rPr>
          <w:color w:val="000000"/>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Established in 1999, Genmab is headquartered in Copenhagen, Denmark, with international presence across North America, Europe and Asia Pacific. For more information, please visit Genmab.com and follow us on LinkedIn and X. </w:t>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Contact: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Marisol Peron, Senior Vice President, Global Communications &amp; Corporate Affairs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 +1 609 524 0065; E: mmp@genmab.com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Andrew Carlsen, Vice President, Head of Investor Relations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 +45 3377 9558; E: acn@genmab.com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16"/>
        </w:rPr>
      </w:pPr>
      <w:r>
        <w:rPr>
          <w:rFonts w:ascii="Arial;sans-serif" w:hAnsi="Arial;sans-serif"/>
          <w:b w:val="false"/>
          <w:i/>
          <w:color w:val="000000"/>
          <w:sz w:val="16"/>
        </w:rPr>
        <w:t xml:space="preserve">This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www.genmab.com and the risk factors included in Genmab’s most recent Annual Report on Form 20-F and other filings with the U.S. Securities and Exchange Commission (SEC), which are available at www.sec.gov. Genmab does not undertake any obligation to update or revise forward looking statements in this Company Announcement nor to confirm such statements to reflect subsequent events or circumstances after the date made or in relation to actual results, unless required by law.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16"/>
        </w:rPr>
        <w:t>Genmab A/S and/or its subsidiaries own the following trademarks: Genmab</w:t>
      </w:r>
      <w:r>
        <w:rPr>
          <w:rFonts w:ascii="Arial;sans-serif" w:hAnsi="Arial;sans-serif"/>
          <w:b w:val="false"/>
          <w:i/>
          <w:color w:val="000000"/>
          <w:sz w:val="10"/>
        </w:rPr>
        <w:t>®</w:t>
      </w:r>
      <w:r>
        <w:rPr>
          <w:rFonts w:ascii="Arial;sans-serif" w:hAnsi="Arial;sans-serif"/>
          <w:b w:val="false"/>
          <w:i/>
          <w:color w:val="000000"/>
          <w:sz w:val="16"/>
        </w:rPr>
        <w:t>; the Y-shaped Genmab logo</w:t>
      </w:r>
      <w:r>
        <w:rPr>
          <w:rFonts w:ascii="Arial;sans-serif" w:hAnsi="Arial;sans-serif"/>
          <w:b w:val="false"/>
          <w:i/>
          <w:color w:val="000000"/>
          <w:sz w:val="10"/>
        </w:rPr>
        <w:t>®</w:t>
      </w:r>
      <w:r>
        <w:rPr>
          <w:rFonts w:ascii="Arial;sans-serif" w:hAnsi="Arial;sans-serif"/>
          <w:b w:val="false"/>
          <w:i/>
          <w:color w:val="000000"/>
          <w:sz w:val="16"/>
        </w:rPr>
        <w:t>; Genmab in combination with the Y-shaped Genmab logo</w:t>
      </w:r>
      <w:r>
        <w:rPr>
          <w:rFonts w:ascii="Arial;sans-serif" w:hAnsi="Arial;sans-serif"/>
          <w:b w:val="false"/>
          <w:i/>
          <w:color w:val="000000"/>
          <w:sz w:val="10"/>
        </w:rPr>
        <w:t>®</w:t>
      </w:r>
      <w:r>
        <w:rPr>
          <w:rFonts w:ascii="Arial;sans-serif" w:hAnsi="Arial;sans-serif"/>
          <w:b w:val="false"/>
          <w:i/>
          <w:color w:val="000000"/>
          <w:sz w:val="16"/>
        </w:rPr>
        <w:t>; HuMax</w:t>
      </w:r>
      <w:r>
        <w:rPr>
          <w:rFonts w:ascii="Arial;sans-serif" w:hAnsi="Arial;sans-serif"/>
          <w:b w:val="false"/>
          <w:i/>
          <w:color w:val="000000"/>
          <w:sz w:val="10"/>
        </w:rPr>
        <w:t>®</w:t>
      </w:r>
      <w:r>
        <w:rPr>
          <w:rFonts w:ascii="Arial;sans-serif" w:hAnsi="Arial;sans-serif"/>
          <w:b w:val="false"/>
          <w:i/>
          <w:color w:val="000000"/>
          <w:sz w:val="16"/>
        </w:rPr>
        <w:t>; DuoBody</w:t>
      </w:r>
      <w:r>
        <w:rPr>
          <w:rFonts w:ascii="Arial;sans-serif" w:hAnsi="Arial;sans-serif"/>
          <w:b w:val="false"/>
          <w:i/>
          <w:color w:val="000000"/>
          <w:sz w:val="10"/>
        </w:rPr>
        <w:t>®</w:t>
      </w:r>
      <w:r>
        <w:rPr>
          <w:rFonts w:ascii="Arial;sans-serif" w:hAnsi="Arial;sans-serif"/>
          <w:b w:val="false"/>
          <w:i/>
          <w:color w:val="000000"/>
          <w:sz w:val="16"/>
        </w:rPr>
        <w:t>; HexaBody</w:t>
      </w:r>
      <w:r>
        <w:rPr>
          <w:rFonts w:ascii="Arial;sans-serif" w:hAnsi="Arial;sans-serif"/>
          <w:b w:val="false"/>
          <w:i/>
          <w:color w:val="000000"/>
          <w:sz w:val="10"/>
        </w:rPr>
        <w:t>®</w:t>
      </w:r>
      <w:r>
        <w:rPr>
          <w:rFonts w:ascii="Arial;sans-serif" w:hAnsi="Arial;sans-serif"/>
          <w:b w:val="false"/>
          <w:i/>
          <w:color w:val="000000"/>
          <w:sz w:val="16"/>
        </w:rPr>
        <w:t>; DuoHexaBody</w:t>
      </w:r>
      <w:r>
        <w:rPr>
          <w:rFonts w:ascii="Arial;sans-serif" w:hAnsi="Arial;sans-serif"/>
          <w:b w:val="false"/>
          <w:i/>
          <w:color w:val="000000"/>
          <w:sz w:val="10"/>
        </w:rPr>
        <w:t>®</w:t>
      </w:r>
      <w:r>
        <w:rPr>
          <w:rFonts w:ascii="Arial;sans-serif" w:hAnsi="Arial;sans-serif"/>
          <w:b w:val="false"/>
          <w:i/>
          <w:color w:val="000000"/>
          <w:sz w:val="16"/>
        </w:rPr>
        <w:t>, HexElect</w:t>
      </w:r>
      <w:r>
        <w:rPr>
          <w:rFonts w:ascii="Arial;sans-serif" w:hAnsi="Arial;sans-serif"/>
          <w:b w:val="false"/>
          <w:i/>
          <w:color w:val="000000"/>
          <w:sz w:val="10"/>
        </w:rPr>
        <w:t xml:space="preserve">® </w:t>
      </w:r>
      <w:r>
        <w:rPr>
          <w:rFonts w:ascii="Arial;sans-serif" w:hAnsi="Arial;sans-serif"/>
          <w:b w:val="false"/>
          <w:i/>
          <w:color w:val="000000"/>
          <w:sz w:val="16"/>
        </w:rPr>
        <w:t>and KYSO</w:t>
      </w:r>
      <w:r>
        <w:rPr>
          <w:rFonts w:ascii="Arial;sans-serif" w:hAnsi="Arial;sans-serif"/>
          <w:b w:val="false"/>
          <w:color w:val="000000"/>
          <w:sz w:val="10"/>
        </w:rPr>
        <w:t>®</w:t>
      </w:r>
      <w:r>
        <w:rPr>
          <w:rFonts w:ascii="Arial;sans-serif" w:hAnsi="Arial;sans-serif"/>
          <w:b w:val="false"/>
          <w:i/>
          <w:color w:val="000000"/>
          <w:sz w:val="16"/>
        </w:rPr>
        <w:t>.</w:t>
      </w:r>
    </w:p>
    <w:p>
      <w:pPr>
        <w:pStyle w:val="TextBody"/>
        <w:bidi w:val="0"/>
        <w:spacing w:before="0" w:after="0"/>
        <w:jc w:val="center"/>
        <w:rPr/>
      </w:pPr>
      <w:bookmarkStart w:id="0" w:name="gmab_20260508xex99d2.htm"/>
      <w:bookmarkStart w:id="1" w:name="ksgmab_20260508xex99d2"/>
      <w:bookmarkEnd w:id="0"/>
      <w:bookmarkEnd w:id="1"/>
      <w:r>
        <w:rPr/>
        <w:drawing>
          <wp:inline distT="0" distB="0" distL="0" distR="0">
            <wp:extent cx="919162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56740"/>
                <wp:effectExtent l="0" t="0" r="0" b="0"/>
                <wp:wrapNone/>
                <wp:docPr id="6" name="Frame4"/>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26</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1/1</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26</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1/1</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Shareholder Shareholder 1 / 3 Master data Standard form for notification of major holdings 3. Details of person subject to the notification obligation: Name Allan &amp; Gill Gray Foundation Address Redwood House, St Julian Avenue, GY1 1WA, St Peter Port, GG National ID-number Guernsey Registration Number: 32 Email address gpolkinghorne@allangillgrayphilanthropies.org 4. Full name of shareholder (if different from 3.) The boxes in sections (1-6) and section (8) in the standard form must always be filled out. Section 3 and 4 can be found at the beginning of the form, under master data. Then, please fill out the sections in the standard form for the relevant type of financial instrument. For notification regarding shares go to section (7.1) in the standard form. For notification regarding financial instruments in accordance with section 39(2)(1) of the Capital Markets Act, go to section (7.2) in the standard form. For notification regarding financial instruments in accordance with section 39(2)(2) of the Capital Markets Act, go to section (7.3) in the standard form. In case of proxy voting, fill out section (9) in the standard form. Section 6 is completed automatically when you report your holding in item 7. If there is a holding from a previous notification, this must be indicated below and entered manually. In case of proxy voting, fill out section (9) in the standard form. Other (please specify): An event changing the breakdown of voting rights or share capital An acquisition or disposal of financial instruments An acquisition or disposal of voting rights or share capital 2. Reason for the notification (please tick the appropriate box or boxes): 5. Date on which the threshold was crossed or reached 08-05-2026 6. Total positions of the person subject to the notification obligation: Voting rights: Resulting situation on the date on which threshold was crossed or reached Voting rights attached to shares in % (total of 7.1.A) 5,0783 % Voting rights through financial instruments in % (total of 7.2.A + 7.3.A) 0,00 % The total of both in % (7.1.A + 7.2.A + 7.3.A) 5,0783 % Position of previous notification (if applicable) Voting rights attached to shares in % 4,8471 % Voting rights through financial instruments in % 0,00 % The total of both in % 4,8471 % Share capital: Resulting situation on the date on which threshold was crossed or reached Share capital attached to shares in % (total of 7.1.B) 0,00 % Share capital attached to shares in % (total of 7.2.B + 7.3.B) 0,00 % Share capital attached to shares in % (total of 7.1.B + 7.2.B + 7.3.B) 0,00 % Position of previous notification (if applicable) 6.A Information on the issuer Total number of voting rights of issuer 62.350.721 Total share capital in issuer 62.350.721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Shareholder 2 / 3 7. Specify type of holding Please check the categories below that are relevant for your holding. You can select multiple categories if your portfolio includes different types of instruments or rights. Choose between: Direct shareholding (section 7.1), if you own shares in the company Financial instruments with the right to acquire shares (section 7.2), such as options or forward contracts that give you the right to buy or subscribe for shares Financial instruments with similar economic effect (section 7.3), such as cash-settled derivatives or other instruments that reflect the value of the shares without physical delivery For each category, you must specify whether your holding relates to (A-sections) and/or (B-sections).voting rights share capital If you are unsure which categories apply to you, we recommend that you consult capital markets legislation or seek advice. 7.1 Shares according to section 38 of the Capital Markets Act 7.1.A Holding of voting rights attached to shares ISIN code GENMAB A/S Number of voting rights Voting rights stated in % Voting rights which the person subject to the notification obligation holds directly or indirectly (Sect. 38(1) of the Capital Markets Act) 3.166.357 Voting rights which the person subject to the notification obligation holds directly or indirectly (Sect. 38(1) of the Capital Markets Act) 5,0783 % Voting rights which the person subject to the notification obligation is entitled to acquire, dispose of or exercise (Sect. 38(2) of the Capital Markets Act 0 Voting rights which the person subject to the notification obligation is entitled to acquire, dispose of or exercise (Sect. 38(2) of the Capital Markets Act) 0,00 % SUBTOTAL 7.1.A Number of voting rights 3.166.357 Voting rights stated in % 5,0783 % 7.1.B: Share capital attached to shares 7.2 Financial instruments according to section 39(2)(1) of the Capital Markets Act 7.2.A: Voting rights attached to financial instruments according to section 39(2)(1) of the Capital Markets Act 7.2.B: Share capital attached to financial instruments according to section 39(2)(1) of the Capital Markets Act 7.3 Financial Instruments with similar economic effect acc. to sect. 39(2)(2) of the Capital Markets Act 7.3.A: Voting rights attached to financial instruments according to section 39(2)(2) of the Capital Markets Act 7.3.B: Share capital attached to financial instruments according to section 39(2)(2) of the Capital Markets Act Full chain of controlled undertakings through which the voting rights and/or the financial instruments are effectively held starting with the ultimate controlling natural person or legal entity The person subject to the notification obligation is not controlled by any natural person or legal entity and does not xii control any undertaking(s) with holdings in the (underlying) issuer 8. Chain of controlled undertakings (please tick the appropriate box): Name Allan &amp; Gill Gray Foundation Total voting rights if more than 5% 5,0783 Total share capital if more than 5% Name Orbis Allan Gray Limited Total voting rights if more than 5% 5,0783 Total share capital if more than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Shareholder 3 / 3 Name Orbis Holdings Limited Total voting rights if more than 5% 5,0783 Total share capital if more than 5% Name Orbis Investment Management Limited Total voting rights if more than 5% 5,0783 Total share capital if more than 5% 9. In case of proxy voting Name of the proxy holder % and number voting rights Date 10. Additional information ⭐The reporting party guarantees the accuracy of the information provided.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1785</Words>
  <Characters>9855</Characters>
  <CharactersWithSpaces>11604</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gmab_20260508xex99d2</dc:title>
</cp:coreProperties>
</file>